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Style w:val="9"/>
          <w:rFonts w:asciiTheme="majorEastAsia" w:hAnsiTheme="majorEastAsia" w:eastAsiaTheme="majorEastAsia"/>
          <w:b/>
          <w:bCs/>
        </w:rPr>
      </w:pPr>
      <w:r>
        <w:rPr>
          <w:rStyle w:val="9"/>
          <w:rFonts w:hint="eastAsia" w:cs="宋体" w:asciiTheme="majorEastAsia" w:hAnsiTheme="majorEastAsia" w:eastAsiaTheme="majorEastAsia"/>
          <w:b/>
          <w:bCs/>
        </w:rPr>
        <w:t>蚌埠技师学院（蚌埠科技工程学校）传染病疫情及突发公共卫生事件报告制度</w:t>
      </w:r>
    </w:p>
    <w:p>
      <w:pPr>
        <w:shd w:val="clear" w:color="auto" w:fill="FFFFFF"/>
        <w:adjustRightInd/>
        <w:snapToGrid/>
        <w:spacing w:after="0"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为加强蚌埠技师学院（蚌埠科技工程学校）传染病疫情管理，预防、控制和消除传染病在园区内的发生与流行，依据《中华人民共和国传染病防治法》和国务院《学校卫生工作条例》有关规定，制定本制度。</w:t>
      </w:r>
    </w:p>
    <w:p>
      <w:pPr>
        <w:shd w:val="clear" w:color="auto" w:fill="FFFFFF"/>
        <w:adjustRightInd/>
        <w:snapToGrid/>
        <w:spacing w:after="0" w:line="520" w:lineRule="exact"/>
        <w:ind w:left="110" w:leftChars="50" w:firstLine="420" w:firstLineChars="1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一、疫情报告小组</w:t>
      </w:r>
    </w:p>
    <w:p>
      <w:pPr>
        <w:pStyle w:val="13"/>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  长：卢嘉砾</w:t>
      </w:r>
    </w:p>
    <w:p>
      <w:pPr>
        <w:pStyle w:val="13"/>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副组长：程东辉、郭仁龙、王刚</w:t>
      </w:r>
    </w:p>
    <w:p>
      <w:pPr>
        <w:pStyle w:val="13"/>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成  员：各部门负责人、班主任、校医</w:t>
      </w:r>
    </w:p>
    <w:p>
      <w:pPr>
        <w:shd w:val="clear" w:color="auto" w:fill="FFFFFF"/>
        <w:adjustRightInd/>
        <w:snapToGrid/>
        <w:spacing w:after="0" w:line="520" w:lineRule="exact"/>
        <w:ind w:left="110" w:leftChars="50" w:firstLine="420" w:firstLineChars="1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二、具体措施</w:t>
      </w:r>
    </w:p>
    <w:p>
      <w:pPr>
        <w:shd w:val="clear" w:color="auto" w:fill="FFFFFF"/>
        <w:adjustRightInd/>
        <w:snapToGrid/>
        <w:spacing w:after="0" w:line="52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为严防传染病疫情在园区学校内传播流行，确定学校办公室刘兴联同志为传染病疫情主要报告员，疫情报告员要依法履行职责，一旦发现传染病病人或疑似传染病病人，要按照以下要求向市人社局、蚌埠职教园突发公共卫生事件应急救援及处置工作领导小组和市定点医疗机构报告。</w:t>
      </w:r>
    </w:p>
    <w:p>
      <w:pPr>
        <w:pStyle w:val="13"/>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发现甲类传染病和乙类传染病中的传染性非典型肺炎、肺炭疽的病人、病原携带者和疑似传染病病人时以最快的通讯方式报告。</w:t>
      </w:r>
    </w:p>
    <w:p>
      <w:pPr>
        <w:shd w:val="clear" w:color="auto" w:fill="FFFFFF"/>
        <w:adjustRightInd/>
        <w:snapToGrid/>
        <w:spacing w:after="0" w:line="52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现乙类传染病病人、病原携带者和疑似传染病病人时在规定时间内报告。疫情报告人在发现丙类传染病病人时，应当及时报告。发生不明原因疾病、聚集性疫情及新发传染病疫情等突发公共卫生事件时要立即报告。</w:t>
      </w:r>
    </w:p>
    <w:p>
      <w:pPr>
        <w:shd w:val="clear" w:color="auto" w:fill="FFFFFF"/>
        <w:adjustRightInd/>
        <w:snapToGrid/>
        <w:spacing w:after="0" w:line="52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认真贯彻执行中华人民共和国《传染病防治法》的规定，学校内发生传染病及突发公共卫生事件时，每一位教师均为义务报告员，应立即报告校疫情报告小组，由校传染病疫情报告员按规定报告，并立即采取有效隔离措施，严防进一步传播，实现“日报告”“零报告”制度。</w:t>
      </w:r>
    </w:p>
    <w:p>
      <w:pPr>
        <w:shd w:val="clear" w:color="auto" w:fill="FFFFFF"/>
        <w:adjustRightInd/>
        <w:snapToGrid/>
        <w:spacing w:after="0" w:line="52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具体疫情报告程序：</w:t>
      </w:r>
    </w:p>
    <w:p>
      <w:pPr>
        <w:shd w:val="clear" w:color="auto" w:fill="FFFFFF"/>
        <w:adjustRightInd/>
        <w:snapToGrid/>
        <w:spacing w:after="0" w:line="52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学生→班主任→年级组长→疫情报告小组组长→学校疫情报告人 →职教园协调办疫情报告员—定点医疗机构及市人社局办公室、蚌埠职教园区。</w:t>
      </w:r>
    </w:p>
    <w:p>
      <w:pPr>
        <w:shd w:val="clear" w:color="auto" w:fill="FFFFFF"/>
        <w:adjustRightInd/>
        <w:snapToGrid/>
        <w:spacing w:after="0" w:line="52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教职工→年级组长→疫情报告小组组长→学校疫情报告人 →职教园协调办疫情报告员—定点医疗机构及市人社局办公室、蚌埠职教园区。</w:t>
      </w:r>
    </w:p>
    <w:p>
      <w:pPr>
        <w:shd w:val="clear" w:color="auto" w:fill="FFFFFF"/>
        <w:adjustRightInd/>
        <w:snapToGrid/>
        <w:spacing w:after="0" w:line="52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班主任要落实晨、午、晚检制度，密切观察学生健康状况，发现异常立即报告，并第一时间安置在健康观察室，由园区医务室工作人员观察症状变化情况。暂时隔离疑似人员和密切接触人员,并联系家长，协调市定点医疗机构迅速确诊疑似人员是否感染病毒。</w:t>
      </w:r>
    </w:p>
    <w:p>
      <w:pPr>
        <w:shd w:val="clear" w:color="auto" w:fill="FFFFFF"/>
        <w:adjustRightInd/>
        <w:snapToGrid/>
        <w:spacing w:after="0" w:line="520" w:lineRule="exact"/>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4．加强传染病防治意识，对未上课同学要立即与家长联系，询问未上课原因。发生传染病时，因病居家隔离对象要做好跟踪管理，掌握居家隔离治疗情况。</w:t>
      </w:r>
    </w:p>
    <w:p>
      <w:pPr>
        <w:shd w:val="clear" w:color="auto" w:fill="FFFFFF"/>
        <w:adjustRightInd/>
        <w:snapToGrid/>
        <w:spacing w:after="0" w:line="520" w:lineRule="exact"/>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5．学校疫情报告小组成员要及时下班级，收集未上课学生情况，及时掌握学生健康状况，对传染病做到防患于未然。</w:t>
      </w:r>
    </w:p>
    <w:p>
      <w:pPr>
        <w:shd w:val="clear" w:color="auto" w:fill="FFFFFF"/>
        <w:adjustRightInd/>
        <w:snapToGrid/>
        <w:spacing w:after="0" w:line="520" w:lineRule="exact"/>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6．学校疫情报告员发现传染病病人或传染病疑似病人时，不得隐瞒、谎报或缓报。如因疫情报告员玩忽职守造成学校内传染病传播流行，将依法追究法律责任。</w:t>
      </w:r>
    </w:p>
    <w:p>
      <w:pPr>
        <w:shd w:val="clear" w:color="auto" w:fill="FFFFFF"/>
        <w:adjustRightInd/>
        <w:snapToGrid/>
        <w:spacing w:after="0" w:line="520" w:lineRule="exact"/>
        <w:ind w:firstLine="48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7．学校落实好传染病报告登记制度，报告的传染病疫情要做好记录。</w:t>
      </w:r>
    </w:p>
    <w:p>
      <w:pPr>
        <w:spacing w:line="520" w:lineRule="exact"/>
        <w:rPr>
          <w:rFonts w:ascii="仿宋_GB2312" w:eastAsia="仿宋_GB2312" w:cs="宋体"/>
          <w:sz w:val="28"/>
          <w:szCs w:val="28"/>
        </w:rPr>
      </w:pPr>
    </w:p>
    <w:p>
      <w:pPr>
        <w:spacing w:line="520" w:lineRule="exact"/>
        <w:ind w:firstLine="560" w:firstLineChars="200"/>
        <w:jc w:val="center"/>
        <w:rPr>
          <w:rFonts w:ascii="仿宋_GB2312" w:eastAsia="仿宋_GB2312" w:cs="宋体"/>
          <w:sz w:val="28"/>
          <w:szCs w:val="28"/>
        </w:rPr>
      </w:pPr>
      <w:r>
        <w:rPr>
          <w:rFonts w:hint="eastAsia" w:ascii="仿宋_GB2312" w:eastAsia="仿宋_GB2312" w:cs="宋体"/>
          <w:sz w:val="28"/>
          <w:szCs w:val="28"/>
        </w:rPr>
        <w:t xml:space="preserve">                     2020年4月 20日</w:t>
      </w:r>
    </w:p>
    <w:p>
      <w:pPr>
        <w:spacing w:line="520" w:lineRule="exact"/>
        <w:ind w:firstLine="560" w:firstLineChars="200"/>
        <w:jc w:val="center"/>
        <w:rPr>
          <w:rFonts w:ascii="仿宋_GB2312" w:eastAsia="仿宋_GB2312" w:cs="宋体"/>
          <w:sz w:val="28"/>
          <w:szCs w:val="28"/>
        </w:rPr>
      </w:pPr>
    </w:p>
    <w:p>
      <w:pPr>
        <w:spacing w:line="520" w:lineRule="exact"/>
        <w:ind w:firstLine="560" w:firstLineChars="200"/>
        <w:jc w:val="center"/>
        <w:rPr>
          <w:rFonts w:ascii="仿宋_GB2312" w:eastAsia="仿宋_GB2312" w:cs="宋体"/>
          <w:sz w:val="28"/>
          <w:szCs w:val="28"/>
        </w:rPr>
      </w:pPr>
    </w:p>
    <w:p>
      <w:pPr>
        <w:spacing w:line="520" w:lineRule="exact"/>
        <w:ind w:firstLine="560" w:firstLineChars="200"/>
        <w:jc w:val="center"/>
        <w:rPr>
          <w:rFonts w:ascii="仿宋_GB2312" w:eastAsia="仿宋_GB2312" w:cs="宋体"/>
          <w:sz w:val="28"/>
          <w:szCs w:val="28"/>
        </w:rPr>
      </w:pPr>
    </w:p>
    <w:p>
      <w:pPr>
        <w:spacing w:line="520" w:lineRule="exact"/>
        <w:ind w:firstLine="640" w:firstLineChars="200"/>
        <w:jc w:val="center"/>
        <w:rPr>
          <w:rFonts w:ascii="仿宋_GB2312" w:eastAsia="仿宋_GB2312"/>
          <w:sz w:val="32"/>
          <w:szCs w:val="32"/>
        </w:rPr>
      </w:pPr>
    </w:p>
    <w:p>
      <w:pPr>
        <w:spacing w:line="520" w:lineRule="exact"/>
        <w:jc w:val="both"/>
        <w:rPr>
          <w:rFonts w:ascii="仿宋_GB2312" w:eastAsia="仿宋_GB2312"/>
          <w:sz w:val="32"/>
          <w:szCs w:val="32"/>
        </w:rPr>
      </w:pPr>
    </w:p>
    <w:p>
      <w:pPr>
        <w:spacing w:line="520" w:lineRule="exact"/>
        <w:jc w:val="both"/>
        <w:rPr>
          <w:rFonts w:ascii="仿宋_GB2312" w:eastAsia="仿宋_GB2312"/>
          <w:sz w:val="32"/>
          <w:szCs w:val="32"/>
        </w:rPr>
      </w:pPr>
    </w:p>
    <w:p>
      <w:pPr>
        <w:spacing w:line="520" w:lineRule="exact"/>
        <w:jc w:val="both"/>
        <w:rPr>
          <w:rFonts w:ascii="仿宋_GB2312" w:eastAsia="仿宋_GB2312"/>
          <w:sz w:val="32"/>
          <w:szCs w:val="32"/>
        </w:rPr>
      </w:pPr>
      <w:bookmarkStart w:id="0" w:name="_GoBack"/>
      <w:bookmarkEnd w:id="0"/>
    </w:p>
    <w:tbl>
      <w:tblPr>
        <w:tblStyle w:val="7"/>
        <w:tblpPr w:leftFromText="180" w:rightFromText="180" w:vertAnchor="text" w:horzAnchor="margin" w:tblpXSpec="center"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1" w:type="dxa"/>
            <w:gridSpan w:val="2"/>
            <w:tcBorders>
              <w:top w:val="nil"/>
              <w:left w:val="nil"/>
              <w:right w:val="nil"/>
            </w:tcBorders>
            <w:vAlign w:val="center"/>
          </w:tcPr>
          <w:p>
            <w:pPr>
              <w:spacing w:line="312" w:lineRule="auto"/>
              <w:textAlignment w:val="center"/>
              <w:rPr>
                <w:rFonts w:ascii="仿宋_GB2312" w:eastAsia="仿宋_GB2312"/>
                <w:color w:val="000000"/>
                <w:sz w:val="32"/>
                <w:szCs w:val="32"/>
              </w:rPr>
            </w:pPr>
            <w:r>
              <w:rPr>
                <w:rFonts w:hint="eastAsia" w:ascii="仿宋_GB2312" w:eastAsia="仿宋_GB2312" w:cs="宋体"/>
                <w:sz w:val="32"/>
                <w:szCs w:val="32"/>
              </w:rPr>
              <w:t>表</w:t>
            </w:r>
            <w:r>
              <w:rPr>
                <w:rFonts w:hint="eastAsia" w:ascii="仿宋_GB2312" w:eastAsia="仿宋_GB2312"/>
                <w:sz w:val="32"/>
                <w:szCs w:val="32"/>
              </w:rPr>
              <w:t xml:space="preserve">1  </w:t>
            </w:r>
            <w:r>
              <w:rPr>
                <w:rFonts w:hint="eastAsia" w:ascii="仿宋_GB2312" w:eastAsia="仿宋_GB2312" w:cs="宋体"/>
                <w:sz w:val="32"/>
                <w:szCs w:val="32"/>
              </w:rPr>
              <w:t>蚌埠技师学院疫情期间每日健康汇总表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807" w:type="dxa"/>
            <w:vAlign w:val="center"/>
          </w:tcPr>
          <w:p>
            <w:pPr>
              <w:spacing w:line="312" w:lineRule="auto"/>
              <w:rPr>
                <w:rFonts w:ascii="仿宋_GB2312" w:eastAsia="仿宋_GB2312"/>
                <w:color w:val="000000"/>
                <w:sz w:val="32"/>
                <w:szCs w:val="32"/>
              </w:rPr>
            </w:pPr>
            <w:r>
              <w:rPr>
                <w:rFonts w:hint="eastAsia" w:ascii="仿宋_GB2312" w:eastAsia="仿宋_GB2312" w:cs="宋体"/>
                <w:color w:val="000000"/>
                <w:sz w:val="32"/>
                <w:szCs w:val="32"/>
              </w:rPr>
              <w:t>应到学生人数</w:t>
            </w:r>
          </w:p>
        </w:tc>
        <w:tc>
          <w:tcPr>
            <w:tcW w:w="3114" w:type="dxa"/>
            <w:vAlign w:val="center"/>
          </w:tcPr>
          <w:p>
            <w:pPr>
              <w:spacing w:line="312" w:lineRule="auto"/>
              <w:rPr>
                <w:rFonts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807" w:type="dxa"/>
            <w:vAlign w:val="center"/>
          </w:tcPr>
          <w:p>
            <w:pPr>
              <w:spacing w:line="312" w:lineRule="auto"/>
              <w:rPr>
                <w:rFonts w:ascii="仿宋_GB2312" w:eastAsia="仿宋_GB2312"/>
                <w:color w:val="000000"/>
                <w:sz w:val="32"/>
                <w:szCs w:val="32"/>
              </w:rPr>
            </w:pPr>
            <w:r>
              <w:rPr>
                <w:rFonts w:hint="eastAsia" w:ascii="仿宋_GB2312" w:eastAsia="仿宋_GB2312" w:cs="宋体"/>
                <w:color w:val="000000"/>
                <w:sz w:val="32"/>
                <w:szCs w:val="32"/>
              </w:rPr>
              <w:t>实到学生人数</w:t>
            </w:r>
          </w:p>
        </w:tc>
        <w:tc>
          <w:tcPr>
            <w:tcW w:w="3114" w:type="dxa"/>
            <w:vAlign w:val="center"/>
          </w:tcPr>
          <w:p>
            <w:pPr>
              <w:spacing w:line="312" w:lineRule="auto"/>
              <w:rPr>
                <w:rFonts w:ascii="仿宋_GB2312" w:eastAsia="仿宋_GB2312"/>
                <w:color w:val="000000"/>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807" w:type="dxa"/>
            <w:vAlign w:val="center"/>
          </w:tcPr>
          <w:p>
            <w:pPr>
              <w:spacing w:line="312" w:lineRule="auto"/>
              <w:rPr>
                <w:rFonts w:ascii="仿宋_GB2312" w:eastAsia="仿宋_GB2312"/>
                <w:color w:val="000000"/>
                <w:sz w:val="32"/>
                <w:szCs w:val="32"/>
              </w:rPr>
            </w:pPr>
            <w:r>
              <w:rPr>
                <w:rFonts w:hint="eastAsia" w:ascii="仿宋_GB2312" w:eastAsia="仿宋_GB2312" w:cs="宋体"/>
                <w:color w:val="000000"/>
                <w:sz w:val="32"/>
                <w:szCs w:val="32"/>
              </w:rPr>
              <w:t>应到教职员工人数</w:t>
            </w:r>
          </w:p>
        </w:tc>
        <w:tc>
          <w:tcPr>
            <w:tcW w:w="3114" w:type="dxa"/>
            <w:vAlign w:val="center"/>
          </w:tcPr>
          <w:p>
            <w:pPr>
              <w:spacing w:line="312" w:lineRule="auto"/>
              <w:rPr>
                <w:rFonts w:ascii="仿宋_GB2312" w:eastAsia="仿宋_GB2312"/>
                <w:color w:val="000000"/>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807" w:type="dxa"/>
            <w:vAlign w:val="center"/>
          </w:tcPr>
          <w:p>
            <w:pPr>
              <w:spacing w:line="312" w:lineRule="auto"/>
              <w:rPr>
                <w:rFonts w:ascii="仿宋_GB2312" w:eastAsia="仿宋_GB2312"/>
                <w:color w:val="000000"/>
                <w:sz w:val="32"/>
                <w:szCs w:val="32"/>
              </w:rPr>
            </w:pPr>
            <w:r>
              <w:rPr>
                <w:rFonts w:hint="eastAsia" w:ascii="仿宋_GB2312" w:eastAsia="仿宋_GB2312" w:cs="宋体"/>
                <w:color w:val="000000"/>
                <w:sz w:val="32"/>
                <w:szCs w:val="32"/>
              </w:rPr>
              <w:t>实到教职员工人数</w:t>
            </w:r>
          </w:p>
        </w:tc>
        <w:tc>
          <w:tcPr>
            <w:tcW w:w="3114" w:type="dxa"/>
            <w:vAlign w:val="center"/>
          </w:tcPr>
          <w:p>
            <w:pPr>
              <w:spacing w:line="312" w:lineRule="auto"/>
              <w:rPr>
                <w:rFonts w:ascii="仿宋_GB2312" w:eastAsia="仿宋_GB2312"/>
                <w:color w:val="000000"/>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807" w:type="dxa"/>
            <w:vAlign w:val="center"/>
          </w:tcPr>
          <w:p>
            <w:pPr>
              <w:spacing w:line="312" w:lineRule="auto"/>
              <w:rPr>
                <w:rFonts w:ascii="仿宋_GB2312" w:eastAsia="仿宋_GB2312"/>
                <w:color w:val="000000"/>
                <w:sz w:val="32"/>
                <w:szCs w:val="32"/>
              </w:rPr>
            </w:pPr>
            <w:r>
              <w:rPr>
                <w:rFonts w:hint="eastAsia" w:ascii="仿宋_GB2312" w:eastAsia="仿宋_GB2312" w:cs="宋体"/>
                <w:color w:val="000000"/>
                <w:sz w:val="32"/>
                <w:szCs w:val="32"/>
              </w:rPr>
              <w:t>实到物业人员数</w:t>
            </w:r>
          </w:p>
        </w:tc>
        <w:tc>
          <w:tcPr>
            <w:tcW w:w="3114" w:type="dxa"/>
            <w:vAlign w:val="center"/>
          </w:tcPr>
          <w:p>
            <w:pPr>
              <w:spacing w:line="312" w:lineRule="auto"/>
              <w:rPr>
                <w:rFonts w:ascii="仿宋_GB2312" w:eastAsia="仿宋_GB2312"/>
                <w:color w:val="000000"/>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807" w:type="dxa"/>
            <w:vAlign w:val="center"/>
          </w:tcPr>
          <w:p>
            <w:pPr>
              <w:spacing w:line="312" w:lineRule="auto"/>
              <w:rPr>
                <w:rFonts w:ascii="仿宋_GB2312" w:eastAsia="仿宋_GB2312"/>
                <w:color w:val="000000"/>
                <w:sz w:val="32"/>
                <w:szCs w:val="32"/>
              </w:rPr>
            </w:pPr>
            <w:r>
              <w:rPr>
                <w:rFonts w:hint="eastAsia" w:ascii="仿宋_GB2312" w:eastAsia="仿宋_GB2312" w:cs="宋体"/>
                <w:color w:val="000000"/>
                <w:sz w:val="32"/>
                <w:szCs w:val="32"/>
              </w:rPr>
              <w:t>报告有发热、咳嗽等呼吸道症状人数</w:t>
            </w:r>
          </w:p>
        </w:tc>
        <w:tc>
          <w:tcPr>
            <w:tcW w:w="3114" w:type="dxa"/>
            <w:vAlign w:val="center"/>
          </w:tcPr>
          <w:p>
            <w:pPr>
              <w:spacing w:line="312" w:lineRule="auto"/>
              <w:rPr>
                <w:rFonts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807" w:type="dxa"/>
            <w:vAlign w:val="center"/>
          </w:tcPr>
          <w:p>
            <w:pPr>
              <w:spacing w:line="312" w:lineRule="auto"/>
              <w:rPr>
                <w:rFonts w:ascii="仿宋_GB2312" w:eastAsia="仿宋_GB2312"/>
                <w:color w:val="000000"/>
                <w:sz w:val="32"/>
                <w:szCs w:val="32"/>
              </w:rPr>
            </w:pPr>
            <w:r>
              <w:rPr>
                <w:rFonts w:hint="eastAsia" w:ascii="仿宋_GB2312" w:eastAsia="仿宋_GB2312" w:cs="宋体"/>
                <w:color w:val="000000"/>
                <w:sz w:val="32"/>
                <w:szCs w:val="32"/>
              </w:rPr>
              <w:t>诊断为传染病人数</w:t>
            </w:r>
          </w:p>
        </w:tc>
        <w:tc>
          <w:tcPr>
            <w:tcW w:w="3114" w:type="dxa"/>
            <w:vAlign w:val="center"/>
          </w:tcPr>
          <w:p>
            <w:pPr>
              <w:spacing w:line="312" w:lineRule="auto"/>
              <w:rPr>
                <w:rFonts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807" w:type="dxa"/>
            <w:vAlign w:val="center"/>
          </w:tcPr>
          <w:p>
            <w:pPr>
              <w:spacing w:line="312" w:lineRule="auto"/>
              <w:rPr>
                <w:rFonts w:ascii="仿宋_GB2312" w:eastAsia="仿宋_GB2312"/>
                <w:color w:val="000000"/>
                <w:sz w:val="32"/>
                <w:szCs w:val="32"/>
              </w:rPr>
            </w:pPr>
            <w:r>
              <w:rPr>
                <w:rFonts w:hint="eastAsia" w:ascii="仿宋_GB2312" w:eastAsia="仿宋_GB2312" w:cs="宋体"/>
                <w:color w:val="000000"/>
                <w:sz w:val="32"/>
                <w:szCs w:val="32"/>
              </w:rPr>
              <w:t>诊断为疑似病例人数</w:t>
            </w:r>
          </w:p>
        </w:tc>
        <w:tc>
          <w:tcPr>
            <w:tcW w:w="3114" w:type="dxa"/>
            <w:vAlign w:val="center"/>
          </w:tcPr>
          <w:p>
            <w:pPr>
              <w:spacing w:line="312" w:lineRule="auto"/>
              <w:rPr>
                <w:rFonts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807" w:type="dxa"/>
            <w:vAlign w:val="center"/>
          </w:tcPr>
          <w:p>
            <w:pPr>
              <w:spacing w:line="312" w:lineRule="auto"/>
              <w:rPr>
                <w:rFonts w:ascii="仿宋_GB2312" w:eastAsia="仿宋_GB2312"/>
                <w:color w:val="000000"/>
                <w:sz w:val="32"/>
                <w:szCs w:val="32"/>
              </w:rPr>
            </w:pPr>
            <w:r>
              <w:rPr>
                <w:rFonts w:hint="eastAsia" w:ascii="仿宋_GB2312" w:eastAsia="仿宋_GB2312" w:cs="宋体"/>
                <w:color w:val="000000"/>
                <w:sz w:val="32"/>
                <w:szCs w:val="32"/>
              </w:rPr>
              <w:t>诊断为无症状感染者的人数</w:t>
            </w:r>
          </w:p>
        </w:tc>
        <w:tc>
          <w:tcPr>
            <w:tcW w:w="3114" w:type="dxa"/>
            <w:vAlign w:val="center"/>
          </w:tcPr>
          <w:p>
            <w:pPr>
              <w:spacing w:line="312" w:lineRule="auto"/>
              <w:rPr>
                <w:rFonts w:ascii="仿宋_GB2312" w:eastAsia="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807" w:type="dxa"/>
            <w:vAlign w:val="center"/>
          </w:tcPr>
          <w:p>
            <w:pPr>
              <w:spacing w:line="312" w:lineRule="auto"/>
              <w:rPr>
                <w:rFonts w:ascii="仿宋_GB2312" w:eastAsia="仿宋_GB2312"/>
                <w:color w:val="000000"/>
                <w:sz w:val="32"/>
                <w:szCs w:val="32"/>
              </w:rPr>
            </w:pPr>
            <w:r>
              <w:rPr>
                <w:rFonts w:hint="eastAsia" w:ascii="仿宋_GB2312" w:eastAsia="仿宋_GB2312" w:cs="宋体"/>
                <w:color w:val="000000"/>
                <w:sz w:val="32"/>
                <w:szCs w:val="32"/>
              </w:rPr>
              <w:t>申报日期</w:t>
            </w:r>
          </w:p>
        </w:tc>
        <w:tc>
          <w:tcPr>
            <w:tcW w:w="3114" w:type="dxa"/>
            <w:vAlign w:val="center"/>
          </w:tcPr>
          <w:p>
            <w:pPr>
              <w:spacing w:line="312" w:lineRule="auto"/>
              <w:rPr>
                <w:rFonts w:ascii="仿宋_GB2312" w:eastAsia="仿宋_GB2312"/>
                <w:color w:val="000000"/>
                <w:sz w:val="32"/>
                <w:szCs w:val="32"/>
              </w:rPr>
            </w:pPr>
            <w:r>
              <w:rPr>
                <w:rFonts w:hint="eastAsia" w:ascii="仿宋_GB2312" w:eastAsia="仿宋_GB2312"/>
                <w:color w:val="000000"/>
                <w:sz w:val="32"/>
                <w:szCs w:val="32"/>
              </w:rPr>
              <w:t>____</w:t>
            </w:r>
            <w:r>
              <w:rPr>
                <w:rFonts w:hint="eastAsia" w:ascii="仿宋_GB2312" w:eastAsia="仿宋_GB2312" w:cs="宋体"/>
                <w:color w:val="000000"/>
                <w:sz w:val="32"/>
                <w:szCs w:val="32"/>
              </w:rPr>
              <w:t>年</w:t>
            </w:r>
            <w:r>
              <w:rPr>
                <w:rFonts w:hint="eastAsia" w:ascii="仿宋_GB2312" w:eastAsia="仿宋_GB2312"/>
                <w:color w:val="000000"/>
                <w:sz w:val="32"/>
                <w:szCs w:val="32"/>
              </w:rPr>
              <w:t>____</w:t>
            </w:r>
            <w:r>
              <w:rPr>
                <w:rFonts w:hint="eastAsia" w:ascii="仿宋_GB2312" w:eastAsia="仿宋_GB2312" w:cs="宋体"/>
                <w:color w:val="000000"/>
                <w:sz w:val="32"/>
                <w:szCs w:val="32"/>
              </w:rPr>
              <w:t>月</w:t>
            </w:r>
            <w:r>
              <w:rPr>
                <w:rFonts w:hint="eastAsia" w:ascii="仿宋_GB2312" w:eastAsia="仿宋_GB2312"/>
                <w:color w:val="000000"/>
                <w:sz w:val="32"/>
                <w:szCs w:val="32"/>
              </w:rPr>
              <w:t>____</w:t>
            </w:r>
            <w:r>
              <w:rPr>
                <w:rFonts w:hint="eastAsia" w:ascii="仿宋_GB2312" w:eastAsia="仿宋_GB2312" w:cs="宋体"/>
                <w:color w:val="000000"/>
                <w:sz w:val="32"/>
                <w:szCs w:val="32"/>
              </w:rPr>
              <w:t>日</w:t>
            </w:r>
          </w:p>
        </w:tc>
      </w:tr>
    </w:tbl>
    <w:p>
      <w:pPr>
        <w:spacing w:line="360" w:lineRule="auto"/>
        <w:ind w:firstLine="640" w:firstLineChars="200"/>
        <w:rPr>
          <w:rFonts w:ascii="仿宋_GB2312" w:eastAsia="仿宋_GB2312"/>
          <w:sz w:val="32"/>
          <w:szCs w:val="32"/>
        </w:rPr>
      </w:pP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FZXBSJW--GB1-0">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26867"/>
    <w:rsid w:val="000A3FAE"/>
    <w:rsid w:val="000F7260"/>
    <w:rsid w:val="00122080"/>
    <w:rsid w:val="00155878"/>
    <w:rsid w:val="001C5EFE"/>
    <w:rsid w:val="00207BC1"/>
    <w:rsid w:val="002B53A6"/>
    <w:rsid w:val="002D419F"/>
    <w:rsid w:val="002E1BB8"/>
    <w:rsid w:val="0030187B"/>
    <w:rsid w:val="00323B43"/>
    <w:rsid w:val="00344650"/>
    <w:rsid w:val="0034717D"/>
    <w:rsid w:val="00357934"/>
    <w:rsid w:val="00360704"/>
    <w:rsid w:val="00391251"/>
    <w:rsid w:val="003D37D8"/>
    <w:rsid w:val="00426133"/>
    <w:rsid w:val="004358AB"/>
    <w:rsid w:val="004667EA"/>
    <w:rsid w:val="005167C2"/>
    <w:rsid w:val="00565761"/>
    <w:rsid w:val="00574F81"/>
    <w:rsid w:val="005F7F8B"/>
    <w:rsid w:val="0061740C"/>
    <w:rsid w:val="006A32D5"/>
    <w:rsid w:val="006D67AC"/>
    <w:rsid w:val="00773FFA"/>
    <w:rsid w:val="0078118A"/>
    <w:rsid w:val="00813278"/>
    <w:rsid w:val="00861091"/>
    <w:rsid w:val="008B7726"/>
    <w:rsid w:val="008E06AB"/>
    <w:rsid w:val="008F2822"/>
    <w:rsid w:val="00937075"/>
    <w:rsid w:val="009B2D82"/>
    <w:rsid w:val="009D5C0E"/>
    <w:rsid w:val="009F1610"/>
    <w:rsid w:val="00A44854"/>
    <w:rsid w:val="00A5336C"/>
    <w:rsid w:val="00A67400"/>
    <w:rsid w:val="00AA4ED7"/>
    <w:rsid w:val="00AD4B1B"/>
    <w:rsid w:val="00B005F1"/>
    <w:rsid w:val="00B375EE"/>
    <w:rsid w:val="00B535F7"/>
    <w:rsid w:val="00BE38EF"/>
    <w:rsid w:val="00BF14BA"/>
    <w:rsid w:val="00C33D21"/>
    <w:rsid w:val="00C87E4B"/>
    <w:rsid w:val="00CA29A4"/>
    <w:rsid w:val="00D3026F"/>
    <w:rsid w:val="00D31D50"/>
    <w:rsid w:val="00D41B39"/>
    <w:rsid w:val="00D97D1B"/>
    <w:rsid w:val="00DA2EA9"/>
    <w:rsid w:val="00E124FA"/>
    <w:rsid w:val="00E54B47"/>
    <w:rsid w:val="00E9535F"/>
    <w:rsid w:val="00F57D26"/>
    <w:rsid w:val="00F7263F"/>
    <w:rsid w:val="00F80F5B"/>
    <w:rsid w:val="00FC04F8"/>
    <w:rsid w:val="00FE42F9"/>
    <w:rsid w:val="074D6C4C"/>
    <w:rsid w:val="08366B3E"/>
    <w:rsid w:val="0CD66FAE"/>
    <w:rsid w:val="14AE7C44"/>
    <w:rsid w:val="252823B9"/>
    <w:rsid w:val="32825122"/>
    <w:rsid w:val="393F2794"/>
    <w:rsid w:val="3C6449F8"/>
    <w:rsid w:val="460904AF"/>
    <w:rsid w:val="66437A5D"/>
    <w:rsid w:val="6D241CA9"/>
    <w:rsid w:val="79274C18"/>
    <w:rsid w:val="7CCC4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widowControl w:val="0"/>
      <w:adjustRightInd/>
      <w:snapToGrid/>
      <w:spacing w:after="0"/>
      <w:jc w:val="both"/>
    </w:pPr>
    <w:rPr>
      <w:rFonts w:ascii="仿宋_GB2312" w:hAnsi="仿宋_GB2312" w:eastAsia="仿宋_GB2312" w:cs="仿宋_GB2312"/>
      <w:kern w:val="2"/>
      <w:sz w:val="32"/>
      <w:szCs w:val="32"/>
      <w:lang w:val="zh-CN" w:bidi="zh-CN"/>
    </w:rPr>
  </w:style>
  <w:style w:type="paragraph" w:styleId="3">
    <w:name w:val="Date"/>
    <w:basedOn w:val="1"/>
    <w:next w:val="1"/>
    <w:link w:val="12"/>
    <w:semiHidden/>
    <w:unhideWhenUsed/>
    <w:qFormat/>
    <w:uiPriority w:val="99"/>
    <w:pPr>
      <w:ind w:left="100" w:leftChars="2500"/>
    </w:pPr>
  </w:style>
  <w:style w:type="paragraph" w:styleId="4">
    <w:name w:val="footer"/>
    <w:basedOn w:val="1"/>
    <w:link w:val="15"/>
    <w:unhideWhenUsed/>
    <w:qFormat/>
    <w:uiPriority w:val="99"/>
    <w:pPr>
      <w:tabs>
        <w:tab w:val="center" w:pos="4153"/>
        <w:tab w:val="right" w:pos="8306"/>
      </w:tabs>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9">
    <w:name w:val="fontstyle01"/>
    <w:qFormat/>
    <w:uiPriority w:val="99"/>
    <w:rPr>
      <w:rFonts w:ascii="FZXBSJW--GB1-0" w:hAnsi="FZXBSJW--GB1-0" w:cs="FZXBSJW--GB1-0"/>
      <w:color w:val="231F20"/>
      <w:sz w:val="36"/>
      <w:szCs w:val="36"/>
    </w:rPr>
  </w:style>
  <w:style w:type="character" w:customStyle="1" w:styleId="10">
    <w:name w:val="正文文本 Char"/>
    <w:basedOn w:val="8"/>
    <w:link w:val="2"/>
    <w:qFormat/>
    <w:uiPriority w:val="1"/>
    <w:rPr>
      <w:rFonts w:ascii="仿宋_GB2312" w:hAnsi="仿宋_GB2312" w:eastAsia="仿宋_GB2312" w:cs="仿宋_GB2312"/>
      <w:kern w:val="2"/>
      <w:sz w:val="32"/>
      <w:szCs w:val="32"/>
      <w:lang w:val="zh-CN" w:bidi="zh-CN"/>
    </w:rPr>
  </w:style>
  <w:style w:type="paragraph" w:styleId="11">
    <w:name w:val="List Paragraph"/>
    <w:basedOn w:val="1"/>
    <w:qFormat/>
    <w:uiPriority w:val="34"/>
    <w:pPr>
      <w:adjustRightInd/>
      <w:snapToGrid/>
      <w:spacing w:before="100" w:beforeAutospacing="1" w:after="100" w:afterAutospacing="1"/>
    </w:pPr>
    <w:rPr>
      <w:rFonts w:ascii="宋体" w:hAnsi="宋体" w:eastAsia="宋体" w:cs="宋体"/>
      <w:sz w:val="24"/>
      <w:szCs w:val="24"/>
    </w:rPr>
  </w:style>
  <w:style w:type="character" w:customStyle="1" w:styleId="12">
    <w:name w:val="日期 Char"/>
    <w:basedOn w:val="8"/>
    <w:link w:val="3"/>
    <w:semiHidden/>
    <w:qFormat/>
    <w:uiPriority w:val="99"/>
    <w:rPr>
      <w:rFonts w:ascii="Tahoma" w:hAnsi="Tahoma"/>
    </w:rPr>
  </w:style>
  <w:style w:type="paragraph" w:styleId="13">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14">
    <w:name w:val="页眉 Char"/>
    <w:basedOn w:val="8"/>
    <w:link w:val="5"/>
    <w:qFormat/>
    <w:uiPriority w:val="99"/>
    <w:rPr>
      <w:rFonts w:ascii="Tahoma" w:hAnsi="Tahoma"/>
      <w:sz w:val="18"/>
      <w:szCs w:val="18"/>
    </w:rPr>
  </w:style>
  <w:style w:type="character" w:customStyle="1" w:styleId="15">
    <w:name w:val="页脚 Char"/>
    <w:basedOn w:val="8"/>
    <w:link w:val="4"/>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诚信科技</Company>
  <Pages>3</Pages>
  <Words>188</Words>
  <Characters>1078</Characters>
  <Lines>8</Lines>
  <Paragraphs>2</Paragraphs>
  <TotalTime>3</TotalTime>
  <ScaleCrop>false</ScaleCrop>
  <LinksUpToDate>false</LinksUpToDate>
  <CharactersWithSpaces>1264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2020-04-26T00:13:00Z</dcterms:created>
  <dc:creator>abcd</dc:creator>
  <cp:lastModifiedBy>秋石</cp:lastModifiedBy>
  <cp:lastPrinted>2020-03-30T00:31:00Z</cp:lastPrinted>
  <dcterms:modified xsi:type="dcterms:W3CDTF">2020-04-26T00:54:11Z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